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FB" w:rsidRPr="00714725" w:rsidRDefault="00714725" w:rsidP="006C10F2">
      <w:pPr>
        <w:jc w:val="center"/>
        <w:rPr>
          <w:b/>
          <w:sz w:val="28"/>
          <w:szCs w:val="28"/>
          <w:u w:val="single"/>
        </w:rPr>
      </w:pPr>
      <w:r w:rsidRPr="00714725">
        <w:rPr>
          <w:b/>
          <w:sz w:val="28"/>
          <w:szCs w:val="28"/>
          <w:u w:val="single"/>
        </w:rPr>
        <w:t>INDIAN PUBLIC SCHOOL, SHAHPURA</w:t>
      </w:r>
    </w:p>
    <w:p w:rsidR="006C10F2" w:rsidRPr="006C10F2" w:rsidRDefault="006C10F2" w:rsidP="006C10F2">
      <w:pPr>
        <w:jc w:val="center"/>
        <w:rPr>
          <w:b/>
        </w:rPr>
      </w:pPr>
      <w:r w:rsidRPr="006C10F2">
        <w:rPr>
          <w:b/>
        </w:rPr>
        <w:t>Fee Structure-2020-21</w:t>
      </w:r>
    </w:p>
    <w:tbl>
      <w:tblPr>
        <w:tblpPr w:leftFromText="180" w:rightFromText="180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"/>
        <w:gridCol w:w="1214"/>
        <w:gridCol w:w="1276"/>
        <w:gridCol w:w="1417"/>
        <w:gridCol w:w="1276"/>
        <w:gridCol w:w="1134"/>
        <w:gridCol w:w="992"/>
        <w:gridCol w:w="1275"/>
      </w:tblGrid>
      <w:tr w:rsidR="00591A1A" w:rsidTr="00B15E6A">
        <w:trPr>
          <w:trHeight w:val="1695"/>
        </w:trPr>
        <w:tc>
          <w:tcPr>
            <w:tcW w:w="879" w:type="dxa"/>
          </w:tcPr>
          <w:p w:rsidR="00591A1A" w:rsidRPr="00BD4656" w:rsidRDefault="00591A1A" w:rsidP="00591A1A">
            <w:pPr>
              <w:rPr>
                <w:b/>
              </w:rPr>
            </w:pPr>
            <w:r w:rsidRPr="00BD4656">
              <w:rPr>
                <w:b/>
              </w:rPr>
              <w:t>Class</w:t>
            </w:r>
          </w:p>
        </w:tc>
        <w:tc>
          <w:tcPr>
            <w:tcW w:w="1214" w:type="dxa"/>
          </w:tcPr>
          <w:p w:rsidR="00591A1A" w:rsidRPr="00BD4656" w:rsidRDefault="00591A1A" w:rsidP="00B15E6A">
            <w:pPr>
              <w:jc w:val="center"/>
              <w:rPr>
                <w:b/>
              </w:rPr>
            </w:pPr>
            <w:r w:rsidRPr="00BD4656">
              <w:rPr>
                <w:b/>
              </w:rPr>
              <w:t>Term 1</w:t>
            </w:r>
            <w:r w:rsidR="00B15E6A">
              <w:rPr>
                <w:b/>
              </w:rPr>
              <w:t xml:space="preserve">   </w:t>
            </w:r>
            <w:r>
              <w:rPr>
                <w:b/>
              </w:rPr>
              <w:t>(at the time of admission)</w:t>
            </w:r>
          </w:p>
        </w:tc>
        <w:tc>
          <w:tcPr>
            <w:tcW w:w="1276" w:type="dxa"/>
          </w:tcPr>
          <w:p w:rsidR="00591A1A" w:rsidRPr="00BD4656" w:rsidRDefault="00591A1A" w:rsidP="00B15E6A">
            <w:pPr>
              <w:jc w:val="center"/>
              <w:rPr>
                <w:b/>
              </w:rPr>
            </w:pPr>
            <w:r w:rsidRPr="00BD4656">
              <w:rPr>
                <w:b/>
              </w:rPr>
              <w:t>Term 2</w:t>
            </w:r>
            <w:r w:rsidR="00B15E6A">
              <w:rPr>
                <w:b/>
              </w:rPr>
              <w:t xml:space="preserve">   </w:t>
            </w:r>
            <w:r>
              <w:rPr>
                <w:b/>
              </w:rPr>
              <w:t>(on or before 10</w:t>
            </w:r>
            <w:r w:rsidRPr="006C10F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July)</w:t>
            </w:r>
          </w:p>
        </w:tc>
        <w:tc>
          <w:tcPr>
            <w:tcW w:w="1417" w:type="dxa"/>
          </w:tcPr>
          <w:p w:rsidR="00591A1A" w:rsidRPr="00BD4656" w:rsidRDefault="00591A1A" w:rsidP="00714725">
            <w:pPr>
              <w:jc w:val="center"/>
            </w:pPr>
            <w:r w:rsidRPr="00714725">
              <w:rPr>
                <w:b/>
              </w:rPr>
              <w:t>Term</w:t>
            </w:r>
            <w:r w:rsidR="00714725" w:rsidRPr="00714725">
              <w:rPr>
                <w:b/>
              </w:rPr>
              <w:t xml:space="preserve"> </w:t>
            </w:r>
            <w:r w:rsidRPr="00714725">
              <w:rPr>
                <w:b/>
              </w:rPr>
              <w:t>3</w:t>
            </w:r>
            <w:r w:rsidR="00B15E6A" w:rsidRPr="00714725">
              <w:rPr>
                <w:b/>
              </w:rPr>
              <w:t xml:space="preserve">  </w:t>
            </w:r>
            <w:r w:rsidRPr="00714725">
              <w:rPr>
                <w:b/>
              </w:rPr>
              <w:t>(on or before 10th September)</w:t>
            </w:r>
          </w:p>
        </w:tc>
        <w:tc>
          <w:tcPr>
            <w:tcW w:w="1276" w:type="dxa"/>
          </w:tcPr>
          <w:p w:rsidR="00591A1A" w:rsidRPr="00BD4656" w:rsidRDefault="00591A1A" w:rsidP="00B15E6A">
            <w:pPr>
              <w:jc w:val="center"/>
              <w:rPr>
                <w:b/>
              </w:rPr>
            </w:pPr>
            <w:r w:rsidRPr="00BD4656">
              <w:rPr>
                <w:b/>
              </w:rPr>
              <w:t>Term 4</w:t>
            </w:r>
            <w:r w:rsidR="00B15E6A">
              <w:rPr>
                <w:b/>
              </w:rPr>
              <w:t xml:space="preserve">   </w:t>
            </w:r>
            <w:r>
              <w:rPr>
                <w:b/>
              </w:rPr>
              <w:t>(on or before 10</w:t>
            </w:r>
            <w:r w:rsidRPr="006C10F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November)</w:t>
            </w:r>
          </w:p>
        </w:tc>
        <w:tc>
          <w:tcPr>
            <w:tcW w:w="1134" w:type="dxa"/>
          </w:tcPr>
          <w:p w:rsidR="00591A1A" w:rsidRPr="00BD4656" w:rsidRDefault="00591A1A" w:rsidP="00B15E6A">
            <w:pPr>
              <w:jc w:val="center"/>
              <w:rPr>
                <w:b/>
              </w:rPr>
            </w:pPr>
            <w:r w:rsidRPr="00BD4656">
              <w:rPr>
                <w:b/>
              </w:rPr>
              <w:t>Term 5</w:t>
            </w:r>
            <w:r w:rsidR="00B15E6A">
              <w:rPr>
                <w:b/>
              </w:rPr>
              <w:t xml:space="preserve"> </w:t>
            </w:r>
            <w:r>
              <w:rPr>
                <w:b/>
              </w:rPr>
              <w:t>(on or before 10</w:t>
            </w:r>
            <w:r w:rsidRPr="006C10F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January)</w:t>
            </w:r>
          </w:p>
        </w:tc>
        <w:tc>
          <w:tcPr>
            <w:tcW w:w="992" w:type="dxa"/>
          </w:tcPr>
          <w:p w:rsidR="00591A1A" w:rsidRPr="00BD4656" w:rsidRDefault="00591A1A" w:rsidP="00591A1A">
            <w:pPr>
              <w:jc w:val="center"/>
              <w:rPr>
                <w:b/>
              </w:rPr>
            </w:pPr>
            <w:r w:rsidRPr="00BD4656">
              <w:rPr>
                <w:b/>
              </w:rPr>
              <w:t>Annual Fee</w:t>
            </w:r>
          </w:p>
        </w:tc>
        <w:tc>
          <w:tcPr>
            <w:tcW w:w="1275" w:type="dxa"/>
          </w:tcPr>
          <w:p w:rsidR="00714725" w:rsidRDefault="00591A1A" w:rsidP="00591A1A">
            <w:pPr>
              <w:jc w:val="center"/>
              <w:rPr>
                <w:b/>
              </w:rPr>
            </w:pPr>
            <w:r w:rsidRPr="00BD4656">
              <w:rPr>
                <w:b/>
              </w:rPr>
              <w:t>Admission fee</w:t>
            </w:r>
          </w:p>
          <w:p w:rsidR="00591A1A" w:rsidRPr="00BD4656" w:rsidRDefault="00591A1A" w:rsidP="00591A1A">
            <w:pPr>
              <w:jc w:val="center"/>
              <w:rPr>
                <w:b/>
              </w:rPr>
            </w:pPr>
            <w:r w:rsidRPr="00BD4656">
              <w:rPr>
                <w:b/>
              </w:rPr>
              <w:t xml:space="preserve"> (only once)</w:t>
            </w:r>
          </w:p>
        </w:tc>
      </w:tr>
      <w:tr w:rsidR="00591A1A" w:rsidTr="00B15E6A">
        <w:trPr>
          <w:trHeight w:val="360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Nursery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4000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2250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2250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2250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2250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13000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1000</w:t>
            </w:r>
          </w:p>
        </w:tc>
      </w:tr>
      <w:tr w:rsidR="00591A1A" w:rsidTr="00B15E6A">
        <w:trPr>
          <w:trHeight w:val="495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LKG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4200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2300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2300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2300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2300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13400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1000</w:t>
            </w:r>
          </w:p>
        </w:tc>
      </w:tr>
      <w:tr w:rsidR="00591A1A" w:rsidTr="00B15E6A">
        <w:trPr>
          <w:trHeight w:val="390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Prep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4550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2400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2400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2400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2400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14150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1000</w:t>
            </w:r>
          </w:p>
        </w:tc>
      </w:tr>
      <w:tr w:rsidR="00591A1A" w:rsidTr="00B15E6A">
        <w:trPr>
          <w:trHeight w:val="585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I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6500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16500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1500</w:t>
            </w:r>
          </w:p>
        </w:tc>
      </w:tr>
      <w:tr w:rsidR="00591A1A" w:rsidTr="00B15E6A">
        <w:trPr>
          <w:trHeight w:val="480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II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7000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17000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1500</w:t>
            </w:r>
          </w:p>
        </w:tc>
      </w:tr>
      <w:tr w:rsidR="00591A1A" w:rsidTr="00B15E6A">
        <w:trPr>
          <w:trHeight w:val="555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III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7500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17500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1500</w:t>
            </w:r>
          </w:p>
        </w:tc>
      </w:tr>
      <w:tr w:rsidR="00591A1A" w:rsidTr="00B15E6A">
        <w:trPr>
          <w:trHeight w:val="630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IV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8000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18000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1500</w:t>
            </w:r>
          </w:p>
        </w:tc>
      </w:tr>
      <w:tr w:rsidR="00591A1A" w:rsidTr="00B15E6A">
        <w:trPr>
          <w:trHeight w:val="465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V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8700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18700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1500</w:t>
            </w:r>
          </w:p>
        </w:tc>
      </w:tr>
      <w:tr w:rsidR="00591A1A" w:rsidTr="00B15E6A">
        <w:trPr>
          <w:trHeight w:val="630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VI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10000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3000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3000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3000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3000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22000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2000</w:t>
            </w:r>
          </w:p>
        </w:tc>
      </w:tr>
      <w:tr w:rsidR="00591A1A" w:rsidTr="00B15E6A">
        <w:trPr>
          <w:trHeight w:val="510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VII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10000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3200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3200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3200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3200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22800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2000</w:t>
            </w:r>
          </w:p>
        </w:tc>
      </w:tr>
      <w:tr w:rsidR="00591A1A" w:rsidTr="00B15E6A">
        <w:trPr>
          <w:trHeight w:val="405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VIII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10500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3250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3250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3250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3250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23500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2000</w:t>
            </w:r>
          </w:p>
        </w:tc>
      </w:tr>
      <w:tr w:rsidR="00591A1A" w:rsidTr="00B15E6A">
        <w:trPr>
          <w:trHeight w:val="270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IX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11000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5250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5250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5250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5250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32000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3000</w:t>
            </w:r>
          </w:p>
        </w:tc>
      </w:tr>
      <w:tr w:rsidR="00591A1A" w:rsidTr="00B15E6A">
        <w:trPr>
          <w:trHeight w:val="360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X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12000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5250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5250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5250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5250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33000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3000</w:t>
            </w:r>
          </w:p>
        </w:tc>
      </w:tr>
      <w:tr w:rsidR="00591A1A" w:rsidTr="00B15E6A">
        <w:trPr>
          <w:trHeight w:val="600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XI science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15000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6750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6750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6750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6750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42000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3000</w:t>
            </w:r>
          </w:p>
        </w:tc>
      </w:tr>
      <w:tr w:rsidR="00591A1A" w:rsidTr="00B15E6A">
        <w:trPr>
          <w:trHeight w:val="495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XI comm.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15000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6250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6250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6250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6250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40000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3000</w:t>
            </w:r>
          </w:p>
        </w:tc>
      </w:tr>
      <w:tr w:rsidR="00591A1A" w:rsidTr="00B15E6A">
        <w:trPr>
          <w:trHeight w:val="615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>XII science</w:t>
            </w:r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15000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7500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7500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7500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7500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45000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3000</w:t>
            </w:r>
          </w:p>
        </w:tc>
      </w:tr>
      <w:tr w:rsidR="00591A1A" w:rsidTr="00B15E6A">
        <w:trPr>
          <w:trHeight w:val="825"/>
        </w:trPr>
        <w:tc>
          <w:tcPr>
            <w:tcW w:w="879" w:type="dxa"/>
          </w:tcPr>
          <w:p w:rsidR="00591A1A" w:rsidRPr="00BD4656" w:rsidRDefault="00591A1A" w:rsidP="00591A1A">
            <w:pPr>
              <w:ind w:left="-60"/>
              <w:jc w:val="center"/>
              <w:rPr>
                <w:b/>
              </w:rPr>
            </w:pPr>
            <w:r w:rsidRPr="00BD4656">
              <w:rPr>
                <w:b/>
              </w:rPr>
              <w:t xml:space="preserve">XII </w:t>
            </w:r>
            <w:proofErr w:type="gramStart"/>
            <w:r w:rsidRPr="00BD4656">
              <w:rPr>
                <w:b/>
              </w:rPr>
              <w:t>comm..</w:t>
            </w:r>
            <w:proofErr w:type="gramEnd"/>
          </w:p>
        </w:tc>
        <w:tc>
          <w:tcPr>
            <w:tcW w:w="1214" w:type="dxa"/>
          </w:tcPr>
          <w:p w:rsidR="00591A1A" w:rsidRDefault="00591A1A" w:rsidP="00591A1A">
            <w:pPr>
              <w:jc w:val="center"/>
            </w:pPr>
            <w:r>
              <w:t>15000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7000</w:t>
            </w:r>
          </w:p>
        </w:tc>
        <w:tc>
          <w:tcPr>
            <w:tcW w:w="1417" w:type="dxa"/>
          </w:tcPr>
          <w:p w:rsidR="00591A1A" w:rsidRDefault="00591A1A" w:rsidP="00591A1A">
            <w:pPr>
              <w:jc w:val="center"/>
            </w:pPr>
            <w:r>
              <w:t>7000</w:t>
            </w:r>
          </w:p>
        </w:tc>
        <w:tc>
          <w:tcPr>
            <w:tcW w:w="1276" w:type="dxa"/>
          </w:tcPr>
          <w:p w:rsidR="00591A1A" w:rsidRDefault="00591A1A" w:rsidP="00591A1A">
            <w:pPr>
              <w:jc w:val="center"/>
            </w:pPr>
            <w:r>
              <w:t>7000</w:t>
            </w:r>
          </w:p>
        </w:tc>
        <w:tc>
          <w:tcPr>
            <w:tcW w:w="1134" w:type="dxa"/>
          </w:tcPr>
          <w:p w:rsidR="00591A1A" w:rsidRDefault="00591A1A" w:rsidP="00591A1A">
            <w:pPr>
              <w:jc w:val="center"/>
            </w:pPr>
            <w:r>
              <w:t>7000</w:t>
            </w:r>
          </w:p>
        </w:tc>
        <w:tc>
          <w:tcPr>
            <w:tcW w:w="992" w:type="dxa"/>
          </w:tcPr>
          <w:p w:rsidR="00591A1A" w:rsidRDefault="00591A1A" w:rsidP="00591A1A">
            <w:pPr>
              <w:jc w:val="center"/>
            </w:pPr>
            <w:r>
              <w:t>43000</w:t>
            </w:r>
          </w:p>
        </w:tc>
        <w:tc>
          <w:tcPr>
            <w:tcW w:w="1275" w:type="dxa"/>
          </w:tcPr>
          <w:p w:rsidR="00591A1A" w:rsidRDefault="00591A1A" w:rsidP="00591A1A">
            <w:pPr>
              <w:jc w:val="center"/>
            </w:pPr>
            <w:r>
              <w:t>3000</w:t>
            </w:r>
          </w:p>
        </w:tc>
      </w:tr>
    </w:tbl>
    <w:p w:rsidR="003255FB" w:rsidRDefault="003255FB" w:rsidP="009D0918"/>
    <w:p w:rsidR="00044E92" w:rsidRDefault="00044E92" w:rsidP="009D0918">
      <w:r>
        <w:t xml:space="preserve">                         </w:t>
      </w:r>
      <w:r w:rsidRPr="00044E92">
        <w:rPr>
          <w:b/>
          <w:u w:val="single"/>
        </w:rPr>
        <w:t>Transport Fee</w:t>
      </w:r>
      <w:r>
        <w:t>:   Local – 600/- per month (to be paid for 10 months)</w:t>
      </w:r>
    </w:p>
    <w:p w:rsidR="00044E92" w:rsidRDefault="00044E92" w:rsidP="009D0918">
      <w:r>
        <w:t xml:space="preserve">                                                      Outsiders – 1000/- per month (to be paid for 10 months)</w:t>
      </w:r>
    </w:p>
    <w:p w:rsidR="00044E92" w:rsidRPr="00714725" w:rsidRDefault="00714725" w:rsidP="009D0918">
      <w:pPr>
        <w:rPr>
          <w:b/>
          <w:sz w:val="24"/>
          <w:szCs w:val="24"/>
          <w:u w:val="single"/>
        </w:rPr>
      </w:pPr>
      <w:r>
        <w:tab/>
      </w:r>
      <w:r>
        <w:tab/>
      </w:r>
      <w:r w:rsidRPr="00714725">
        <w:rPr>
          <w:b/>
          <w:sz w:val="24"/>
          <w:szCs w:val="24"/>
          <w:u w:val="single"/>
        </w:rPr>
        <w:t xml:space="preserve">I – Card </w:t>
      </w:r>
      <w:proofErr w:type="gramStart"/>
      <w:r w:rsidRPr="00714725">
        <w:rPr>
          <w:b/>
          <w:sz w:val="24"/>
          <w:szCs w:val="24"/>
          <w:u w:val="single"/>
        </w:rPr>
        <w:t>Fee :</w:t>
      </w:r>
      <w:proofErr w:type="gramEnd"/>
      <w:r w:rsidRPr="00714725">
        <w:rPr>
          <w:b/>
          <w:sz w:val="24"/>
          <w:szCs w:val="24"/>
        </w:rPr>
        <w:t xml:space="preserve">    50/- each</w:t>
      </w:r>
    </w:p>
    <w:p w:rsidR="00044E92" w:rsidRDefault="00044E92" w:rsidP="009D0918"/>
    <w:p w:rsidR="003255FB" w:rsidRDefault="000725BD" w:rsidP="009D0918">
      <w:r w:rsidRPr="00591A1A">
        <w:rPr>
          <w:b/>
          <w:u w:val="single"/>
        </w:rPr>
        <w:t>Note:</w:t>
      </w:r>
      <w:r>
        <w:t xml:space="preserve"> 1. In addition to the fees listed above, parents will be expected to pay separately to the school for transport, outstation tours (if opted for), Entry fees for various competitions (if participated), </w:t>
      </w:r>
      <w:proofErr w:type="gramStart"/>
      <w:r>
        <w:t>fee</w:t>
      </w:r>
      <w:proofErr w:type="gramEnd"/>
      <w:r>
        <w:t xml:space="preserve"> for public/competitive/board examinations as applicable from time to time.</w:t>
      </w:r>
    </w:p>
    <w:p w:rsidR="000725BD" w:rsidRDefault="000725BD" w:rsidP="009D0918">
      <w:r>
        <w:t>2. Further, parents in general will be required to meet the other routine expenses towards text books, notebooks, school uniform etc. All these articles can be procured from market.</w:t>
      </w:r>
    </w:p>
    <w:p w:rsidR="000725BD" w:rsidRDefault="000725BD" w:rsidP="009D0918">
      <w:r>
        <w:t>3.  Annual fees are payable in instalments as prescribed by the school only on or before the scheduled dates.</w:t>
      </w:r>
    </w:p>
    <w:p w:rsidR="00BD7107" w:rsidRDefault="000725BD" w:rsidP="009D0918">
      <w:r>
        <w:t xml:space="preserve">4. Parents should </w:t>
      </w:r>
      <w:r w:rsidR="00BD7107">
        <w:t>expect a hike of 10% to 12% in the annual fees enlisted above.</w:t>
      </w:r>
    </w:p>
    <w:p w:rsidR="00BD7107" w:rsidRDefault="00BD7107" w:rsidP="009D0918">
      <w:r>
        <w:t>5. School management reserves the right to modify the fees from time to time.</w:t>
      </w:r>
    </w:p>
    <w:p w:rsidR="000725BD" w:rsidRDefault="00BD7107" w:rsidP="009D0918">
      <w:r>
        <w:t>6. All admissions are subject to the prevailing rules and regulations laid down by the school from time to time.</w:t>
      </w:r>
      <w:r w:rsidR="000725BD">
        <w:t xml:space="preserve"> </w:t>
      </w:r>
    </w:p>
    <w:p w:rsidR="00714725" w:rsidRDefault="00714725" w:rsidP="009D0918">
      <w:r>
        <w:t xml:space="preserve">7. If the whole fee is paid in single instalment in the beginning of session, </w:t>
      </w:r>
      <w:r w:rsidRPr="00714725">
        <w:rPr>
          <w:b/>
        </w:rPr>
        <w:t>5% concession</w:t>
      </w:r>
      <w:r>
        <w:t xml:space="preserve"> will be given in annual fee excluding Admission fee.</w:t>
      </w:r>
    </w:p>
    <w:sectPr w:rsidR="00714725" w:rsidSect="002B60BB">
      <w:type w:val="continuous"/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40" w:rsidRDefault="002E5440" w:rsidP="00E73CD6">
      <w:pPr>
        <w:spacing w:after="0" w:line="240" w:lineRule="auto"/>
      </w:pPr>
      <w:r>
        <w:separator/>
      </w:r>
    </w:p>
  </w:endnote>
  <w:endnote w:type="continuationSeparator" w:id="0">
    <w:p w:rsidR="002E5440" w:rsidRDefault="002E5440" w:rsidP="00E7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40" w:rsidRDefault="002E5440" w:rsidP="00E73CD6">
      <w:pPr>
        <w:spacing w:after="0" w:line="240" w:lineRule="auto"/>
      </w:pPr>
      <w:r>
        <w:separator/>
      </w:r>
    </w:p>
  </w:footnote>
  <w:footnote w:type="continuationSeparator" w:id="0">
    <w:p w:rsidR="002E5440" w:rsidRDefault="002E5440" w:rsidP="00E73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1B0"/>
    <w:multiLevelType w:val="multilevel"/>
    <w:tmpl w:val="715C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D449D"/>
    <w:multiLevelType w:val="multilevel"/>
    <w:tmpl w:val="88E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4474B"/>
    <w:multiLevelType w:val="multilevel"/>
    <w:tmpl w:val="8ABC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A6667"/>
    <w:multiLevelType w:val="multilevel"/>
    <w:tmpl w:val="71EE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A3D46"/>
    <w:multiLevelType w:val="multilevel"/>
    <w:tmpl w:val="CD8C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F37C7"/>
    <w:multiLevelType w:val="multilevel"/>
    <w:tmpl w:val="203E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3539A"/>
    <w:multiLevelType w:val="multilevel"/>
    <w:tmpl w:val="F45A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46149"/>
    <w:multiLevelType w:val="multilevel"/>
    <w:tmpl w:val="E04E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AB1C4F"/>
    <w:multiLevelType w:val="multilevel"/>
    <w:tmpl w:val="7D54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8462CD"/>
    <w:multiLevelType w:val="multilevel"/>
    <w:tmpl w:val="230A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8B"/>
    <w:rsid w:val="000022A7"/>
    <w:rsid w:val="00044E92"/>
    <w:rsid w:val="00046935"/>
    <w:rsid w:val="000725BD"/>
    <w:rsid w:val="000A601B"/>
    <w:rsid w:val="000B288E"/>
    <w:rsid w:val="000B5099"/>
    <w:rsid w:val="00100D62"/>
    <w:rsid w:val="0011057C"/>
    <w:rsid w:val="00146DAF"/>
    <w:rsid w:val="001645E4"/>
    <w:rsid w:val="001B7C43"/>
    <w:rsid w:val="001D0F3D"/>
    <w:rsid w:val="001E309B"/>
    <w:rsid w:val="002408FB"/>
    <w:rsid w:val="00241C5D"/>
    <w:rsid w:val="00254192"/>
    <w:rsid w:val="002917FE"/>
    <w:rsid w:val="002B0DCC"/>
    <w:rsid w:val="002B60BB"/>
    <w:rsid w:val="002B7E06"/>
    <w:rsid w:val="002D0280"/>
    <w:rsid w:val="002D1BD2"/>
    <w:rsid w:val="002E5440"/>
    <w:rsid w:val="002F5D58"/>
    <w:rsid w:val="003255FB"/>
    <w:rsid w:val="0032778B"/>
    <w:rsid w:val="003368B7"/>
    <w:rsid w:val="00345699"/>
    <w:rsid w:val="003E59A0"/>
    <w:rsid w:val="0040403D"/>
    <w:rsid w:val="00450F82"/>
    <w:rsid w:val="00457C10"/>
    <w:rsid w:val="00464346"/>
    <w:rsid w:val="004E29F9"/>
    <w:rsid w:val="004F090B"/>
    <w:rsid w:val="00566853"/>
    <w:rsid w:val="00591A1A"/>
    <w:rsid w:val="005F198B"/>
    <w:rsid w:val="00637BA7"/>
    <w:rsid w:val="00646777"/>
    <w:rsid w:val="006826E2"/>
    <w:rsid w:val="006924BC"/>
    <w:rsid w:val="006A0788"/>
    <w:rsid w:val="006B776B"/>
    <w:rsid w:val="006C10F2"/>
    <w:rsid w:val="006E2235"/>
    <w:rsid w:val="00714725"/>
    <w:rsid w:val="00717034"/>
    <w:rsid w:val="0076174B"/>
    <w:rsid w:val="007620B3"/>
    <w:rsid w:val="0076474F"/>
    <w:rsid w:val="00777E4B"/>
    <w:rsid w:val="00796E4B"/>
    <w:rsid w:val="007B6CE0"/>
    <w:rsid w:val="007C7C9E"/>
    <w:rsid w:val="007F5E73"/>
    <w:rsid w:val="00804C0D"/>
    <w:rsid w:val="00815C0B"/>
    <w:rsid w:val="00854451"/>
    <w:rsid w:val="00863870"/>
    <w:rsid w:val="00872E36"/>
    <w:rsid w:val="0090314F"/>
    <w:rsid w:val="00984C56"/>
    <w:rsid w:val="009A6E55"/>
    <w:rsid w:val="009B5447"/>
    <w:rsid w:val="009C1F82"/>
    <w:rsid w:val="009D0918"/>
    <w:rsid w:val="00A27852"/>
    <w:rsid w:val="00A47364"/>
    <w:rsid w:val="00A711A6"/>
    <w:rsid w:val="00A8138A"/>
    <w:rsid w:val="00B15E6A"/>
    <w:rsid w:val="00B22B2F"/>
    <w:rsid w:val="00B52FF2"/>
    <w:rsid w:val="00B67AA8"/>
    <w:rsid w:val="00B9687F"/>
    <w:rsid w:val="00BD4656"/>
    <w:rsid w:val="00BD6DBF"/>
    <w:rsid w:val="00BD7107"/>
    <w:rsid w:val="00C01BCE"/>
    <w:rsid w:val="00C24F91"/>
    <w:rsid w:val="00C711B8"/>
    <w:rsid w:val="00CA2199"/>
    <w:rsid w:val="00D17B81"/>
    <w:rsid w:val="00DA5951"/>
    <w:rsid w:val="00DE27C4"/>
    <w:rsid w:val="00E11B2D"/>
    <w:rsid w:val="00E27318"/>
    <w:rsid w:val="00E73CD6"/>
    <w:rsid w:val="00E8314A"/>
    <w:rsid w:val="00F03A05"/>
    <w:rsid w:val="00F75E1B"/>
    <w:rsid w:val="00FA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56"/>
  </w:style>
  <w:style w:type="paragraph" w:styleId="Heading1">
    <w:name w:val="heading 1"/>
    <w:basedOn w:val="Normal"/>
    <w:link w:val="Heading1Char"/>
    <w:uiPriority w:val="9"/>
    <w:qFormat/>
    <w:rsid w:val="00327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327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C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73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CD6"/>
  </w:style>
  <w:style w:type="paragraph" w:styleId="Footer">
    <w:name w:val="footer"/>
    <w:basedOn w:val="Normal"/>
    <w:link w:val="FooterChar"/>
    <w:uiPriority w:val="99"/>
    <w:semiHidden/>
    <w:unhideWhenUsed/>
    <w:rsid w:val="00E73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CD6"/>
  </w:style>
  <w:style w:type="paragraph" w:styleId="NormalWeb">
    <w:name w:val="Normal (Web)"/>
    <w:basedOn w:val="Normal"/>
    <w:uiPriority w:val="99"/>
    <w:semiHidden/>
    <w:unhideWhenUsed/>
    <w:rsid w:val="0032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32778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32778B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3277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778B"/>
    <w:rPr>
      <w:b/>
      <w:bCs/>
    </w:rPr>
  </w:style>
  <w:style w:type="character" w:customStyle="1" w:styleId="sr-only">
    <w:name w:val="sr-only"/>
    <w:basedOn w:val="DefaultParagraphFont"/>
    <w:rsid w:val="0032778B"/>
  </w:style>
  <w:style w:type="paragraph" w:styleId="BalloonText">
    <w:name w:val="Balloon Text"/>
    <w:basedOn w:val="Normal"/>
    <w:link w:val="BalloonTextChar"/>
    <w:uiPriority w:val="99"/>
    <w:semiHidden/>
    <w:unhideWhenUsed/>
    <w:rsid w:val="0032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0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6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3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1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7556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</w:divsChild>
                            </w:div>
                            <w:div w:id="16762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8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65456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141539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852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7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  <w:div w:id="98219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39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340152">
                                          <w:marLeft w:val="375"/>
                                          <w:marRight w:val="0"/>
                                          <w:marTop w:val="45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86975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8" w:color="0059A7"/>
                                                <w:left w:val="none" w:sz="0" w:space="0" w:color="auto"/>
                                                <w:bottom w:val="single" w:sz="6" w:space="8" w:color="DDDDDD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499337">
                                          <w:marLeft w:val="21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6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51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901600">
                                                          <w:marLeft w:val="0"/>
                                                          <w:marRight w:val="0"/>
                                                          <w:marTop w:val="210"/>
                                                          <w:marBottom w:val="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0" w:color="DDDDDD"/>
                                                            <w:bottom w:val="single" w:sz="6" w:space="0" w:color="DDDDDD"/>
                                                            <w:right w:val="single" w:sz="6" w:space="0" w:color="DDDDDD"/>
                                                          </w:divBdr>
                                                          <w:divsChild>
                                                            <w:div w:id="5061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8" w:color="F09B1D"/>
                                                                <w:left w:val="none" w:sz="0" w:space="0" w:color="auto"/>
                                                                <w:bottom w:val="single" w:sz="6" w:space="8" w:color="DDDDDD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097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80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1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568561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099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11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1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804490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454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130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1" w:color="DDDDDD"/>
                                                                    <w:right w:val="single" w:sz="6" w:space="11" w:color="DDDDDD"/>
                                                                  </w:divBdr>
                                                                  <w:divsChild>
                                                                    <w:div w:id="1247492078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178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369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1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510394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3140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297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1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25104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850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571840">
                                                          <w:marLeft w:val="0"/>
                                                          <w:marRight w:val="0"/>
                                                          <w:marTop w:val="210"/>
                                                          <w:marBottom w:val="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0" w:color="DDDDDD"/>
                                                            <w:bottom w:val="single" w:sz="6" w:space="0" w:color="DDDDDD"/>
                                                            <w:right w:val="single" w:sz="6" w:space="0" w:color="DDDDDD"/>
                                                          </w:divBdr>
                                                          <w:divsChild>
                                                            <w:div w:id="62943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8" w:color="F09B1D"/>
                                                                <w:left w:val="none" w:sz="0" w:space="0" w:color="auto"/>
                                                                <w:bottom w:val="single" w:sz="6" w:space="8" w:color="DDDDDD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78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309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1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316120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59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840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1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447002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374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74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1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163253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90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03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1" w:color="DDDDDD"/>
                                                                    <w:right w:val="single" w:sz="6" w:space="11" w:color="DDDDDD"/>
                                                                  </w:divBdr>
                                                                  <w:divsChild>
                                                                    <w:div w:id="58095165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276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332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95801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861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65242">
                                                          <w:marLeft w:val="0"/>
                                                          <w:marRight w:val="0"/>
                                                          <w:marTop w:val="210"/>
                                                          <w:marBottom w:val="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0" w:color="DDDDDD"/>
                                                            <w:bottom w:val="single" w:sz="6" w:space="0" w:color="DDDDDD"/>
                                                            <w:right w:val="single" w:sz="6" w:space="0" w:color="DDDDDD"/>
                                                          </w:divBdr>
                                                          <w:divsChild>
                                                            <w:div w:id="26130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8" w:color="D40000"/>
                                                                <w:left w:val="none" w:sz="0" w:space="0" w:color="auto"/>
                                                                <w:bottom w:val="single" w:sz="6" w:space="8" w:color="DDDDDD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8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587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32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9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54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25623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6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000351">
                                                      <w:marLeft w:val="-105"/>
                                                      <w:marRight w:val="-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2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18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25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11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46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46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5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21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4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5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36</cp:revision>
  <cp:lastPrinted>2020-03-02T08:09:00Z</cp:lastPrinted>
  <dcterms:created xsi:type="dcterms:W3CDTF">2019-09-30T03:24:00Z</dcterms:created>
  <dcterms:modified xsi:type="dcterms:W3CDTF">2020-03-02T08:15:00Z</dcterms:modified>
</cp:coreProperties>
</file>